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02" w:rsidRPr="00704402" w:rsidRDefault="00704402" w:rsidP="00704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590550"/>
            <wp:effectExtent l="19050" t="0" r="0" b="0"/>
            <wp:docPr id="1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02" w:rsidRPr="00704402" w:rsidRDefault="00704402" w:rsidP="00704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402" w:rsidRPr="00704402" w:rsidRDefault="00704402" w:rsidP="00704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402">
        <w:rPr>
          <w:rFonts w:ascii="Times New Roman" w:eastAsia="Calibri" w:hAnsi="Times New Roman" w:cs="Times New Roman"/>
          <w:b/>
          <w:sz w:val="28"/>
          <w:szCs w:val="28"/>
        </w:rPr>
        <w:t>ВЯЗЕМСКИЙ ОКРУЖНОЙ СОВЕТ ДЕПУТАТОВ</w:t>
      </w:r>
    </w:p>
    <w:p w:rsidR="00704402" w:rsidRPr="00704402" w:rsidRDefault="00704402" w:rsidP="00704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402" w:rsidRDefault="00704402" w:rsidP="00704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40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04402" w:rsidRDefault="00704402" w:rsidP="00704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402" w:rsidRDefault="00704402" w:rsidP="00704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B00" w:rsidRPr="00704402" w:rsidRDefault="00275B00" w:rsidP="00704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F7FE6">
        <w:rPr>
          <w:rFonts w:ascii="Times New Roman" w:hAnsi="Times New Roman"/>
          <w:bCs/>
          <w:kern w:val="28"/>
          <w:sz w:val="28"/>
          <w:szCs w:val="28"/>
        </w:rPr>
        <w:t>22.10.2024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AF7FE6">
        <w:rPr>
          <w:rFonts w:ascii="Times New Roman" w:hAnsi="Times New Roman"/>
          <w:bCs/>
          <w:kern w:val="28"/>
          <w:sz w:val="28"/>
          <w:szCs w:val="28"/>
        </w:rPr>
        <w:t>21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704402">
        <w:rPr>
          <w:rFonts w:ascii="Times New Roman" w:hAnsi="Times New Roman" w:cs="Times New Roman"/>
          <w:b w:val="0"/>
          <w:sz w:val="28"/>
          <w:szCs w:val="28"/>
        </w:rPr>
        <w:t xml:space="preserve">Вяземский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DC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453C45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, </w:t>
      </w:r>
      <w:r w:rsidR="00704402">
        <w:rPr>
          <w:color w:val="000000"/>
          <w:sz w:val="28"/>
          <w:szCs w:val="28"/>
        </w:rPr>
        <w:t>Вяземский окружной Совет депутатов</w:t>
      </w:r>
    </w:p>
    <w:p w:rsid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AF7FE6" w:rsidRPr="00275B00" w:rsidRDefault="00AF7FE6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704402">
        <w:rPr>
          <w:rFonts w:ascii="Times New Roman" w:hAnsi="Times New Roman"/>
          <w:color w:val="000000"/>
          <w:sz w:val="28"/>
          <w:szCs w:val="28"/>
        </w:rPr>
        <w:t xml:space="preserve">Вяземский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9D2265" w:rsidRDefault="00AC4366" w:rsidP="009D2265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>Вяземский вестник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>Вяземский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9D2265" w:rsidRPr="009D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402" w:rsidRPr="00704402">
        <w:rPr>
          <w:rFonts w:ascii="Times New Roman" w:eastAsia="PT Astra Serif" w:hAnsi="Times New Roman" w:cs="Times New Roman"/>
          <w:sz w:val="28"/>
          <w:szCs w:val="28"/>
        </w:rPr>
        <w:t>vyazma-region67.ru.</w:t>
      </w:r>
      <w:r w:rsidR="009D2265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Default="00704402" w:rsidP="0070440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szCs w:val="28"/>
        </w:rPr>
        <w:t xml:space="preserve">   </w:t>
      </w:r>
      <w:r w:rsidR="00AC4366"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4402" w:rsidRDefault="00704402" w:rsidP="00275B00">
      <w:pPr>
        <w:pStyle w:val="a3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704402" w:rsidRPr="00704402" w:rsidTr="00EE0278">
        <w:trPr>
          <w:cantSplit/>
        </w:trPr>
        <w:tc>
          <w:tcPr>
            <w:tcW w:w="4748" w:type="dxa"/>
            <w:hideMark/>
          </w:tcPr>
          <w:p w:rsidR="00704402" w:rsidRPr="00704402" w:rsidRDefault="00704402" w:rsidP="0070440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704402">
              <w:rPr>
                <w:color w:val="000000"/>
                <w:sz w:val="28"/>
                <w:szCs w:val="28"/>
              </w:rPr>
              <w:t xml:space="preserve">Председатель Вяземского </w:t>
            </w:r>
          </w:p>
          <w:p w:rsidR="00704402" w:rsidRPr="00704402" w:rsidRDefault="00704402" w:rsidP="0070440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704402">
              <w:rPr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704402" w:rsidRPr="00704402" w:rsidRDefault="00704402" w:rsidP="0070440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04402" w:rsidRDefault="00704402" w:rsidP="00704402">
            <w:pPr>
              <w:pStyle w:val="a3"/>
              <w:rPr>
                <w:color w:val="000000"/>
                <w:sz w:val="28"/>
                <w:szCs w:val="28"/>
              </w:rPr>
            </w:pPr>
            <w:r w:rsidRPr="00704402">
              <w:rPr>
                <w:color w:val="000000"/>
                <w:sz w:val="28"/>
                <w:szCs w:val="28"/>
              </w:rPr>
              <w:t>Исполняющий полномочия Главы муниципального образования «Вяземский район» Смоленской области</w:t>
            </w:r>
          </w:p>
          <w:p w:rsidR="009D7F2F" w:rsidRPr="00704402" w:rsidRDefault="009D7F2F" w:rsidP="0070440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704402" w:rsidRPr="00704402" w:rsidTr="00EE0278">
        <w:trPr>
          <w:cantSplit/>
        </w:trPr>
        <w:tc>
          <w:tcPr>
            <w:tcW w:w="4748" w:type="dxa"/>
            <w:hideMark/>
          </w:tcPr>
          <w:p w:rsidR="00704402" w:rsidRPr="00AF7FE6" w:rsidRDefault="00F66495" w:rsidP="00F66495">
            <w:pPr>
              <w:pStyle w:val="a3"/>
              <w:jc w:val="right"/>
              <w:rPr>
                <w:bCs/>
                <w:color w:val="000000"/>
                <w:sz w:val="28"/>
                <w:szCs w:val="28"/>
              </w:rPr>
            </w:pPr>
            <w:r w:rsidRPr="00AF7FE6">
              <w:rPr>
                <w:bCs/>
                <w:color w:val="000000"/>
                <w:sz w:val="28"/>
                <w:szCs w:val="28"/>
              </w:rPr>
              <w:t>В.М. Никулин</w:t>
            </w:r>
          </w:p>
        </w:tc>
        <w:tc>
          <w:tcPr>
            <w:tcW w:w="425" w:type="dxa"/>
          </w:tcPr>
          <w:p w:rsidR="00704402" w:rsidRPr="00704402" w:rsidRDefault="00704402" w:rsidP="0070440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04402" w:rsidRPr="00AF7FE6" w:rsidRDefault="00704402" w:rsidP="00AF7FE6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704402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AF7FE6"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="00AF7FE6" w:rsidRPr="00AF7FE6">
              <w:rPr>
                <w:bCs/>
                <w:color w:val="000000"/>
                <w:sz w:val="28"/>
                <w:szCs w:val="28"/>
              </w:rPr>
              <w:t>О.М. Смоляков</w:t>
            </w:r>
          </w:p>
        </w:tc>
      </w:tr>
    </w:tbl>
    <w:p w:rsidR="00704402" w:rsidRDefault="00704402" w:rsidP="00275B00">
      <w:pPr>
        <w:pStyle w:val="a3"/>
        <w:jc w:val="both"/>
        <w:rPr>
          <w:color w:val="000000"/>
          <w:sz w:val="28"/>
          <w:szCs w:val="28"/>
        </w:rPr>
      </w:pPr>
    </w:p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AF7FE6" w:rsidRDefault="00AF7F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453C45" w:rsidRDefault="00275B00" w:rsidP="00704402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>Вяземского окружного Совета депутатов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F7FE6">
        <w:rPr>
          <w:rFonts w:ascii="Times New Roman" w:hAnsi="Times New Roman" w:cs="Times New Roman"/>
          <w:color w:val="000000"/>
          <w:sz w:val="28"/>
          <w:szCs w:val="28"/>
        </w:rPr>
        <w:t>22.10.2024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F7FE6"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B9207F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>организации и проведения публичных слушаний</w:t>
      </w:r>
    </w:p>
    <w:p w:rsidR="00B9207F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</w:t>
      </w:r>
    </w:p>
    <w:p w:rsidR="00275B00" w:rsidRPr="00275B00" w:rsidRDefault="00C42934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04402">
        <w:rPr>
          <w:rFonts w:ascii="Times New Roman" w:hAnsi="Times New Roman" w:cs="Times New Roman"/>
          <w:sz w:val="28"/>
        </w:rPr>
        <w:t xml:space="preserve">Вяземский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</w:rPr>
        <w:t>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 xml:space="preserve">«Вяземский 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  <w:proofErr w:type="gramEnd"/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r w:rsidR="00704402">
        <w:rPr>
          <w:rFonts w:ascii="Times New Roman" w:eastAsia="Calibri" w:hAnsi="Times New Roman" w:cs="Times New Roman"/>
          <w:sz w:val="28"/>
          <w:szCs w:val="28"/>
        </w:rPr>
        <w:t>Вяземский</w:t>
      </w:r>
      <w:r w:rsidR="00046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B9207F" w:rsidRPr="00B9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70440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 xml:space="preserve">Вяземского окружного Совета депутатов </w:t>
      </w:r>
      <w:r w:rsidR="00AB4799" w:rsidRPr="007044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7A33" w:rsidRPr="0070440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B4799" w:rsidRPr="00704402">
        <w:rPr>
          <w:rFonts w:ascii="Times New Roman" w:hAnsi="Times New Roman" w:cs="Times New Roman"/>
          <w:sz w:val="28"/>
          <w:szCs w:val="28"/>
        </w:rPr>
        <w:t xml:space="preserve">– </w:t>
      </w:r>
      <w:r w:rsidR="00704402" w:rsidRPr="00704402">
        <w:rPr>
          <w:rFonts w:ascii="Times New Roman" w:hAnsi="Times New Roman" w:cs="Times New Roman"/>
          <w:sz w:val="28"/>
          <w:szCs w:val="28"/>
        </w:rPr>
        <w:t>Совет депутатов</w:t>
      </w:r>
      <w:r w:rsidR="00AB4799" w:rsidRPr="00704402">
        <w:rPr>
          <w:rFonts w:ascii="Times New Roman" w:hAnsi="Times New Roman" w:cs="Times New Roman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70440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04402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proofErr w:type="gramEnd"/>
      <w:r w:rsidR="00704402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>один 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704402">
        <w:rPr>
          <w:rFonts w:ascii="Times New Roman" w:hAnsi="Times New Roman" w:cs="Times New Roman"/>
          <w:color w:val="000000"/>
          <w:sz w:val="28"/>
          <w:szCs w:val="28"/>
        </w:rPr>
        <w:t xml:space="preserve">Вяземского </w:t>
      </w:r>
      <w:r w:rsidR="00F66495">
        <w:rPr>
          <w:rFonts w:ascii="Times New Roman" w:hAnsi="Times New Roman" w:cs="Times New Roman"/>
          <w:color w:val="000000"/>
          <w:sz w:val="28"/>
          <w:szCs w:val="28"/>
        </w:rPr>
        <w:t>окружного</w:t>
      </w:r>
      <w:r w:rsidR="004244A1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4244A1">
        <w:rPr>
          <w:rFonts w:ascii="Times New Roman" w:hAnsi="Times New Roman" w:cs="Times New Roman"/>
          <w:color w:val="000000"/>
          <w:sz w:val="28"/>
          <w:szCs w:val="28"/>
        </w:rPr>
        <w:t>Вяземский окружной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4244A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4244A1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4244A1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4244A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4244A1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EE027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EE0278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отказывает в проведении публичных слушаний в случае, если выносимые на рассмотрение проекты правовых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:rsidR="00275B00" w:rsidRPr="00275B00" w:rsidRDefault="00275B00" w:rsidP="00EE027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EE0278">
        <w:rPr>
          <w:rFonts w:ascii="Times New Roman" w:hAnsi="Times New Roman" w:cs="Times New Roman"/>
          <w:color w:val="000000"/>
          <w:sz w:val="28"/>
          <w:szCs w:val="28"/>
        </w:rPr>
        <w:t>Вяземского окружного Совета депутатов или постанов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E0278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6F53E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278">
        <w:rPr>
          <w:rFonts w:ascii="Times New Roman" w:hAnsi="Times New Roman" w:cs="Times New Roman"/>
          <w:color w:val="000000"/>
          <w:sz w:val="28"/>
          <w:szCs w:val="28"/>
        </w:rPr>
        <w:t xml:space="preserve">Вяземскому окружному Совету депутатов,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6F53EA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окружной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412D72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  <w:proofErr w:type="gramEnd"/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54CE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4106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4106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Вяземского окружного Совета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 xml:space="preserve">Вяземскому межрайонному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121" w:rsidRPr="0044195A">
        <w:rPr>
          <w:rFonts w:ascii="Times New Roman" w:hAnsi="Times New Roman" w:cs="Times New Roman"/>
          <w:sz w:val="28"/>
          <w:szCs w:val="28"/>
        </w:rPr>
        <w:t>(уполномоченному им представителю)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121" w:rsidRDefault="008D6121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 xml:space="preserve">Вяземский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C10377" w:rsidRDefault="00C10377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D6121">
        <w:rPr>
          <w:rFonts w:ascii="Times New Roman" w:hAnsi="Times New Roman" w:cs="Times New Roman"/>
          <w:b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Вяземского окружного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8D6121">
        <w:rPr>
          <w:rFonts w:ascii="Times New Roman" w:hAnsi="Times New Roman" w:cs="Times New Roman"/>
          <w:color w:val="000000"/>
          <w:sz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041382">
        <w:rPr>
          <w:rFonts w:ascii="Times New Roman" w:hAnsi="Times New Roman" w:cs="Times New Roman"/>
          <w:color w:val="000000"/>
          <w:sz w:val="28"/>
        </w:rPr>
        <w:t>______________________________</w:t>
      </w:r>
    </w:p>
    <w:p w:rsidR="00041382" w:rsidRPr="00041382" w:rsidRDefault="002703BF" w:rsidP="00041382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(</w:t>
      </w:r>
      <w:r w:rsidR="00041382" w:rsidRPr="00041382">
        <w:rPr>
          <w:rFonts w:ascii="Times New Roman" w:hAnsi="Times New Roman" w:cs="Times New Roman"/>
          <w:color w:val="000000"/>
          <w:sz w:val="20"/>
        </w:rPr>
        <w:t>наименование представительного органа муниципального образования</w:t>
      </w:r>
      <w:r>
        <w:rPr>
          <w:rFonts w:ascii="Times New Roman" w:hAnsi="Times New Roman" w:cs="Times New Roman"/>
          <w:color w:val="000000"/>
          <w:sz w:val="20"/>
        </w:rPr>
        <w:t>)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b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lastRenderedPageBreak/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D6121">
        <w:rPr>
          <w:rFonts w:ascii="Times New Roman" w:hAnsi="Times New Roman" w:cs="Times New Roman"/>
          <w:color w:val="000000"/>
          <w:sz w:val="28"/>
          <w:szCs w:val="28"/>
        </w:rPr>
        <w:t>Вяземский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9C" w:rsidRDefault="003F399C" w:rsidP="00275B00">
      <w:pPr>
        <w:spacing w:after="0" w:line="240" w:lineRule="auto"/>
      </w:pPr>
      <w:r>
        <w:separator/>
      </w:r>
    </w:p>
  </w:endnote>
  <w:endnote w:type="continuationSeparator" w:id="0">
    <w:p w:rsidR="003F399C" w:rsidRDefault="003F399C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9C" w:rsidRDefault="003F399C" w:rsidP="00275B00">
      <w:pPr>
        <w:spacing w:after="0" w:line="240" w:lineRule="auto"/>
      </w:pPr>
      <w:r>
        <w:separator/>
      </w:r>
    </w:p>
  </w:footnote>
  <w:footnote w:type="continuationSeparator" w:id="0">
    <w:p w:rsidR="003F399C" w:rsidRDefault="003F399C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EE0278" w:rsidRDefault="000D49F1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EE0278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9D7F2F">
          <w:rPr>
            <w:noProof/>
            <w:sz w:val="20"/>
          </w:rPr>
          <w:t>2</w:t>
        </w:r>
        <w:r w:rsidRPr="00B9207F">
          <w:rPr>
            <w:sz w:val="20"/>
          </w:rPr>
          <w:fldChar w:fldCharType="end"/>
        </w:r>
      </w:p>
    </w:sdtContent>
  </w:sdt>
  <w:p w:rsidR="00EE0278" w:rsidRDefault="00EE02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00"/>
    <w:rsid w:val="000364A7"/>
    <w:rsid w:val="00041382"/>
    <w:rsid w:val="00046213"/>
    <w:rsid w:val="00053813"/>
    <w:rsid w:val="000D49F1"/>
    <w:rsid w:val="000D4DE3"/>
    <w:rsid w:val="000D6550"/>
    <w:rsid w:val="00105AE6"/>
    <w:rsid w:val="0012462E"/>
    <w:rsid w:val="001259B7"/>
    <w:rsid w:val="0013276A"/>
    <w:rsid w:val="00134EA0"/>
    <w:rsid w:val="00147ADE"/>
    <w:rsid w:val="001C0AC0"/>
    <w:rsid w:val="002350A0"/>
    <w:rsid w:val="00260AC2"/>
    <w:rsid w:val="00263CDD"/>
    <w:rsid w:val="002703BF"/>
    <w:rsid w:val="00275B00"/>
    <w:rsid w:val="0033699E"/>
    <w:rsid w:val="00357329"/>
    <w:rsid w:val="003A7BB7"/>
    <w:rsid w:val="003B7BF3"/>
    <w:rsid w:val="003F399C"/>
    <w:rsid w:val="0041067A"/>
    <w:rsid w:val="00412D72"/>
    <w:rsid w:val="0042389A"/>
    <w:rsid w:val="004241B6"/>
    <w:rsid w:val="004244A1"/>
    <w:rsid w:val="0044195A"/>
    <w:rsid w:val="00453C45"/>
    <w:rsid w:val="004849D0"/>
    <w:rsid w:val="004A08DC"/>
    <w:rsid w:val="004D7A94"/>
    <w:rsid w:val="004E3038"/>
    <w:rsid w:val="0050290A"/>
    <w:rsid w:val="00523B43"/>
    <w:rsid w:val="00547726"/>
    <w:rsid w:val="005859A2"/>
    <w:rsid w:val="00587978"/>
    <w:rsid w:val="005B0248"/>
    <w:rsid w:val="00621C1C"/>
    <w:rsid w:val="00696ABA"/>
    <w:rsid w:val="006B5E1F"/>
    <w:rsid w:val="006E5B9F"/>
    <w:rsid w:val="006F53EA"/>
    <w:rsid w:val="006F66FE"/>
    <w:rsid w:val="00704402"/>
    <w:rsid w:val="00761172"/>
    <w:rsid w:val="00776E01"/>
    <w:rsid w:val="007D3B7D"/>
    <w:rsid w:val="007D414A"/>
    <w:rsid w:val="007D4738"/>
    <w:rsid w:val="007E0AC0"/>
    <w:rsid w:val="007E6B77"/>
    <w:rsid w:val="008000DB"/>
    <w:rsid w:val="00826043"/>
    <w:rsid w:val="00834A3D"/>
    <w:rsid w:val="008734C5"/>
    <w:rsid w:val="00894AED"/>
    <w:rsid w:val="008D6121"/>
    <w:rsid w:val="008F6028"/>
    <w:rsid w:val="008F7F52"/>
    <w:rsid w:val="00920B4F"/>
    <w:rsid w:val="00933D47"/>
    <w:rsid w:val="00954A06"/>
    <w:rsid w:val="00997A33"/>
    <w:rsid w:val="009D2265"/>
    <w:rsid w:val="009D7F2F"/>
    <w:rsid w:val="009F2927"/>
    <w:rsid w:val="00A01288"/>
    <w:rsid w:val="00A07096"/>
    <w:rsid w:val="00A4080B"/>
    <w:rsid w:val="00AA70CD"/>
    <w:rsid w:val="00AB4799"/>
    <w:rsid w:val="00AB5E2B"/>
    <w:rsid w:val="00AC2D6C"/>
    <w:rsid w:val="00AC4366"/>
    <w:rsid w:val="00AD327A"/>
    <w:rsid w:val="00AF7FE6"/>
    <w:rsid w:val="00B03587"/>
    <w:rsid w:val="00B11110"/>
    <w:rsid w:val="00B246E7"/>
    <w:rsid w:val="00B62071"/>
    <w:rsid w:val="00B6535A"/>
    <w:rsid w:val="00B9207F"/>
    <w:rsid w:val="00B9287D"/>
    <w:rsid w:val="00BF258B"/>
    <w:rsid w:val="00C10377"/>
    <w:rsid w:val="00C15B2B"/>
    <w:rsid w:val="00C15B58"/>
    <w:rsid w:val="00C32B2F"/>
    <w:rsid w:val="00C42934"/>
    <w:rsid w:val="00C5275C"/>
    <w:rsid w:val="00C950A7"/>
    <w:rsid w:val="00CA54CE"/>
    <w:rsid w:val="00CB0A59"/>
    <w:rsid w:val="00CB1192"/>
    <w:rsid w:val="00CB1E23"/>
    <w:rsid w:val="00CF58AF"/>
    <w:rsid w:val="00CF6D47"/>
    <w:rsid w:val="00D16B8D"/>
    <w:rsid w:val="00D26432"/>
    <w:rsid w:val="00D51285"/>
    <w:rsid w:val="00D75724"/>
    <w:rsid w:val="00D7767E"/>
    <w:rsid w:val="00D86412"/>
    <w:rsid w:val="00D86CA0"/>
    <w:rsid w:val="00DF7FBD"/>
    <w:rsid w:val="00E53312"/>
    <w:rsid w:val="00E65D7B"/>
    <w:rsid w:val="00E82232"/>
    <w:rsid w:val="00E9756A"/>
    <w:rsid w:val="00EA7DCB"/>
    <w:rsid w:val="00EE0278"/>
    <w:rsid w:val="00EE7E48"/>
    <w:rsid w:val="00F2560B"/>
    <w:rsid w:val="00F34B25"/>
    <w:rsid w:val="00F5405C"/>
    <w:rsid w:val="00F66495"/>
    <w:rsid w:val="00F71D3A"/>
    <w:rsid w:val="00FB16D9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433A-BFE9-4F44-ACAE-07EDB3B0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User</cp:lastModifiedBy>
  <cp:revision>15</cp:revision>
  <cp:lastPrinted>2024-06-26T08:14:00Z</cp:lastPrinted>
  <dcterms:created xsi:type="dcterms:W3CDTF">2024-06-26T07:50:00Z</dcterms:created>
  <dcterms:modified xsi:type="dcterms:W3CDTF">2024-10-24T11:22:00Z</dcterms:modified>
</cp:coreProperties>
</file>