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5" w:rsidRDefault="008F6A55" w:rsidP="008F6A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55" w:rsidRDefault="008F6A55" w:rsidP="008F6A55">
      <w:pPr>
        <w:jc w:val="center"/>
        <w:rPr>
          <w:sz w:val="28"/>
          <w:szCs w:val="28"/>
        </w:rPr>
      </w:pPr>
    </w:p>
    <w:p w:rsidR="008F6A55" w:rsidRDefault="008F6A55" w:rsidP="008F6A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F6A55" w:rsidRDefault="008F6A55" w:rsidP="008F6A55">
      <w:pPr>
        <w:jc w:val="center"/>
        <w:rPr>
          <w:b/>
          <w:sz w:val="28"/>
          <w:szCs w:val="28"/>
        </w:rPr>
      </w:pPr>
    </w:p>
    <w:p w:rsidR="008F6A55" w:rsidRDefault="008F6A55" w:rsidP="008F6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4C7" w:rsidRDefault="005934C7" w:rsidP="005934C7">
      <w:pPr>
        <w:rPr>
          <w:sz w:val="28"/>
          <w:szCs w:val="28"/>
        </w:rPr>
      </w:pPr>
    </w:p>
    <w:p w:rsidR="005934C7" w:rsidRPr="008F6A55" w:rsidRDefault="005934C7" w:rsidP="005934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81A15" w:rsidRPr="00A81A15">
        <w:rPr>
          <w:sz w:val="28"/>
          <w:szCs w:val="28"/>
          <w:u w:val="single"/>
        </w:rPr>
        <w:t>19</w:t>
      </w:r>
      <w:r w:rsidR="009C70C7" w:rsidRPr="00A81A15">
        <w:rPr>
          <w:sz w:val="28"/>
          <w:szCs w:val="28"/>
          <w:u w:val="single"/>
        </w:rPr>
        <w:t>.04</w:t>
      </w:r>
      <w:r w:rsidRPr="00A81A15">
        <w:rPr>
          <w:sz w:val="28"/>
          <w:szCs w:val="28"/>
          <w:u w:val="single"/>
        </w:rPr>
        <w:t>.201</w:t>
      </w:r>
      <w:r w:rsidR="009C70C7" w:rsidRPr="00A81A1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8F6A55">
        <w:rPr>
          <w:sz w:val="28"/>
          <w:szCs w:val="28"/>
        </w:rPr>
        <w:t xml:space="preserve"> </w:t>
      </w:r>
      <w:r w:rsidR="008F6A55" w:rsidRPr="008F6A55">
        <w:rPr>
          <w:sz w:val="28"/>
          <w:szCs w:val="28"/>
          <w:u w:val="single"/>
        </w:rPr>
        <w:t>24</w:t>
      </w:r>
    </w:p>
    <w:p w:rsidR="005934C7" w:rsidRDefault="005934C7" w:rsidP="005934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9C70C7">
              <w:rPr>
                <w:sz w:val="28"/>
                <w:szCs w:val="28"/>
              </w:rPr>
              <w:t>2015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5934C7" w:rsidRPr="00667E79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79">
        <w:rPr>
          <w:rFonts w:ascii="Times New Roman" w:hAnsi="Times New Roman" w:cs="Times New Roman"/>
          <w:sz w:val="28"/>
          <w:szCs w:val="28"/>
        </w:rPr>
        <w:t xml:space="preserve"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>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</w:t>
      </w:r>
      <w:r w:rsidR="00FB492A">
        <w:rPr>
          <w:rFonts w:ascii="Times New Roman" w:hAnsi="Times New Roman" w:cs="Times New Roman"/>
          <w:sz w:val="28"/>
          <w:szCs w:val="28"/>
        </w:rPr>
        <w:t>нской области от 16.02.2016 № 13</w:t>
      </w:r>
      <w:r w:rsidR="00B83968">
        <w:rPr>
          <w:rFonts w:ascii="Times New Roman" w:hAnsi="Times New Roman" w:cs="Times New Roman"/>
          <w:sz w:val="28"/>
          <w:szCs w:val="28"/>
        </w:rPr>
        <w:t xml:space="preserve">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proofErr w:type="gramEnd"/>
    </w:p>
    <w:p w:rsidR="005934C7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Default="005934C7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4F" w:rsidRPr="00FA004F" w:rsidRDefault="00FA004F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55" w:rsidRPr="002A727B" w:rsidRDefault="005934C7" w:rsidP="00FA0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1. Назначить публичные слушания отчета об исполнении бюджета Вяземского городского поселения Вяземского р</w:t>
      </w:r>
      <w:r w:rsidR="009C70C7">
        <w:rPr>
          <w:sz w:val="28"/>
          <w:szCs w:val="28"/>
        </w:rPr>
        <w:t>айона Смоленской области за 2015</w:t>
      </w:r>
      <w:r w:rsidR="00985C67">
        <w:rPr>
          <w:sz w:val="28"/>
          <w:szCs w:val="28"/>
        </w:rPr>
        <w:t xml:space="preserve"> год (прилагается) на «12</w:t>
      </w:r>
      <w:r>
        <w:rPr>
          <w:sz w:val="28"/>
          <w:szCs w:val="28"/>
        </w:rPr>
        <w:t xml:space="preserve">» </w:t>
      </w:r>
      <w:r w:rsidR="00985C67">
        <w:rPr>
          <w:sz w:val="28"/>
          <w:szCs w:val="28"/>
        </w:rPr>
        <w:t>мая 2016</w:t>
      </w:r>
      <w:r w:rsidR="00166479">
        <w:rPr>
          <w:sz w:val="28"/>
          <w:szCs w:val="28"/>
        </w:rPr>
        <w:t xml:space="preserve"> года на 14 часов </w:t>
      </w:r>
      <w:r>
        <w:rPr>
          <w:sz w:val="28"/>
          <w:szCs w:val="28"/>
        </w:rPr>
        <w:t>3</w:t>
      </w:r>
      <w:r w:rsidR="00166479">
        <w:rPr>
          <w:sz w:val="28"/>
          <w:szCs w:val="28"/>
        </w:rPr>
        <w:t>0 минут</w:t>
      </w:r>
      <w:r w:rsidRPr="002A727B">
        <w:rPr>
          <w:sz w:val="28"/>
          <w:szCs w:val="28"/>
        </w:rPr>
        <w:t xml:space="preserve"> в здании Администрации муниципального образования «Вяземский район» Смоленской </w:t>
      </w:r>
      <w:proofErr w:type="gramStart"/>
      <w:r w:rsidRPr="002A727B">
        <w:rPr>
          <w:sz w:val="28"/>
          <w:szCs w:val="28"/>
        </w:rPr>
        <w:t>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>зал заседаний, 3 этаж) по адресу: г. Вязьма, ул. 25 Октября, д.11.</w:t>
      </w:r>
      <w:proofErr w:type="gramEnd"/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A75C97">
        <w:rPr>
          <w:sz w:val="28"/>
          <w:szCs w:val="28"/>
        </w:rPr>
        <w:t>района Смоленской области до «11</w:t>
      </w:r>
      <w:r>
        <w:rPr>
          <w:sz w:val="28"/>
          <w:szCs w:val="28"/>
        </w:rPr>
        <w:t xml:space="preserve">» </w:t>
      </w:r>
      <w:r w:rsidR="00A75C97">
        <w:rPr>
          <w:sz w:val="28"/>
          <w:szCs w:val="28"/>
        </w:rPr>
        <w:t>мая</w:t>
      </w:r>
      <w:r w:rsidR="009C70C7">
        <w:rPr>
          <w:sz w:val="28"/>
          <w:szCs w:val="28"/>
        </w:rPr>
        <w:t xml:space="preserve"> 2016</w:t>
      </w:r>
      <w:r w:rsidRPr="002A727B">
        <w:rPr>
          <w:sz w:val="28"/>
          <w:szCs w:val="28"/>
        </w:rPr>
        <w:t xml:space="preserve"> года имеющиеся у них замечания и предложения по отчету об исполнении бюджета Вяземского городского поселения Вяземского р</w:t>
      </w:r>
      <w:r w:rsidR="00A75C97">
        <w:rPr>
          <w:sz w:val="28"/>
          <w:szCs w:val="28"/>
        </w:rPr>
        <w:t>айона Смоленской области за 2015</w:t>
      </w:r>
      <w:r w:rsidRPr="002A727B">
        <w:rPr>
          <w:sz w:val="28"/>
          <w:szCs w:val="28"/>
        </w:rPr>
        <w:t xml:space="preserve"> год.</w:t>
      </w:r>
    </w:p>
    <w:p w:rsidR="005934C7" w:rsidRPr="002A727B" w:rsidRDefault="00FA004F" w:rsidP="008F6A5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4C7"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Вяземского городского поселения Вяземского района Смоленской области от </w:t>
      </w:r>
      <w:r w:rsidR="00A75C97">
        <w:rPr>
          <w:sz w:val="28"/>
          <w:szCs w:val="28"/>
        </w:rPr>
        <w:t>16.02.2016 № 13</w:t>
      </w:r>
      <w:r w:rsidR="00B83968">
        <w:rPr>
          <w:sz w:val="28"/>
          <w:szCs w:val="28"/>
        </w:rPr>
        <w:t>.</w:t>
      </w:r>
    </w:p>
    <w:p w:rsidR="005934C7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934C7"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 w:rsidR="00A81A15"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1A15" w:rsidRPr="002A727B" w:rsidRDefault="00A81A15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2A72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заместитель</w:t>
      </w:r>
      <w:r w:rsidRPr="00A81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2A727B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</w:t>
      </w:r>
      <w:r w:rsidR="00FA004F">
        <w:rPr>
          <w:sz w:val="28"/>
          <w:szCs w:val="28"/>
        </w:rPr>
        <w:t>етарь организационного комитета;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432596" w:rsidRPr="002A727B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Владимир Михайлович</w:t>
      </w:r>
      <w:r w:rsidR="005934C7" w:rsidRPr="002A727B"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–</w:t>
      </w:r>
      <w:r w:rsidRPr="0043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Главы </w:t>
      </w:r>
      <w:r w:rsidRPr="002A727B">
        <w:rPr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;</w:t>
      </w:r>
    </w:p>
    <w:p w:rsidR="00432596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="005934C7"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</w:t>
      </w:r>
      <w:r w:rsidR="00FA004F">
        <w:rPr>
          <w:sz w:val="28"/>
          <w:szCs w:val="28"/>
        </w:rPr>
        <w:t>кого района Смоленской области</w:t>
      </w:r>
      <w:proofErr w:type="gramEnd"/>
      <w:r w:rsidR="00FA004F">
        <w:rPr>
          <w:sz w:val="28"/>
          <w:szCs w:val="28"/>
        </w:rPr>
        <w:t>;</w:t>
      </w:r>
    </w:p>
    <w:p w:rsidR="00FA004F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Сарко</w:t>
      </w:r>
      <w:proofErr w:type="spellEnd"/>
      <w:r>
        <w:rPr>
          <w:sz w:val="28"/>
          <w:szCs w:val="28"/>
        </w:rPr>
        <w:t xml:space="preserve"> Валерий Людвигович – депутат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</w:t>
      </w:r>
      <w:r>
        <w:rPr>
          <w:sz w:val="28"/>
          <w:szCs w:val="28"/>
        </w:rPr>
        <w:t>кого района Смоленской области</w:t>
      </w:r>
      <w:proofErr w:type="gramEnd"/>
      <w:r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Default="00C875FB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5C97" w:rsidRPr="002A727B" w:rsidRDefault="00A75C97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Исаева Лидия Егоровна -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по исполнению городского бюджета 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финансового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3.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432596">
        <w:rPr>
          <w:sz w:val="28"/>
          <w:szCs w:val="28"/>
        </w:rPr>
        <w:t>айона Смоленской области за 2015</w:t>
      </w:r>
      <w:r w:rsidRPr="002A727B">
        <w:rPr>
          <w:sz w:val="28"/>
          <w:szCs w:val="28"/>
        </w:rPr>
        <w:t xml:space="preserve"> год,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Pr="002A727B">
        <w:rPr>
          <w:sz w:val="28"/>
          <w:szCs w:val="28"/>
        </w:rPr>
        <w:t xml:space="preserve"> Григорьев).</w:t>
      </w:r>
    </w:p>
    <w:p w:rsidR="005A6731" w:rsidRPr="005A6731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4.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FA004F">
        <w:rPr>
          <w:sz w:val="28"/>
          <w:szCs w:val="28"/>
        </w:rPr>
        <w:t>Г.И.</w:t>
      </w:r>
      <w:r w:rsidR="00AC0D9A">
        <w:rPr>
          <w:sz w:val="28"/>
          <w:szCs w:val="28"/>
        </w:rPr>
        <w:t xml:space="preserve"> </w:t>
      </w:r>
      <w:proofErr w:type="spellStart"/>
      <w:r w:rsidR="00FA004F">
        <w:rPr>
          <w:sz w:val="28"/>
          <w:szCs w:val="28"/>
        </w:rPr>
        <w:t>Мимангалиева</w:t>
      </w:r>
      <w:proofErr w:type="spellEnd"/>
      <w:r w:rsidRPr="002A727B">
        <w:rPr>
          <w:sz w:val="28"/>
          <w:szCs w:val="28"/>
        </w:rPr>
        <w:t>).</w:t>
      </w:r>
    </w:p>
    <w:p w:rsidR="005934C7" w:rsidRDefault="005934C7" w:rsidP="008F6A55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432596" w:rsidRDefault="00432596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432596" w:rsidRDefault="00432596" w:rsidP="00FA004F">
            <w:pPr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FA004F" w:rsidRDefault="00FA004F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  <w:bookmarkStart w:id="0" w:name="_GoBack"/>
            <w:bookmarkEnd w:id="0"/>
          </w:p>
        </w:tc>
      </w:tr>
    </w:tbl>
    <w:p w:rsidR="0025765E" w:rsidRPr="00FA004F" w:rsidRDefault="0025765E" w:rsidP="00FA004F"/>
    <w:sectPr w:rsidR="0025765E" w:rsidRPr="00FA004F" w:rsidSect="00FA004F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25" w:rsidRDefault="00C41325" w:rsidP="005934C7">
      <w:r>
        <w:separator/>
      </w:r>
    </w:p>
  </w:endnote>
  <w:endnote w:type="continuationSeparator" w:id="0">
    <w:p w:rsidR="00C41325" w:rsidRDefault="00C41325" w:rsidP="0059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25" w:rsidRDefault="00C41325" w:rsidP="005934C7">
      <w:r>
        <w:separator/>
      </w:r>
    </w:p>
  </w:footnote>
  <w:footnote w:type="continuationSeparator" w:id="0">
    <w:p w:rsidR="00C41325" w:rsidRDefault="00C41325" w:rsidP="0059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1"/>
      <w:docPartObj>
        <w:docPartGallery w:val="Page Numbers (Top of Page)"/>
        <w:docPartUnique/>
      </w:docPartObj>
    </w:sdtPr>
    <w:sdtContent>
      <w:p w:rsidR="005934C7" w:rsidRDefault="001F536C">
        <w:pPr>
          <w:pStyle w:val="a5"/>
          <w:jc w:val="center"/>
        </w:pPr>
        <w:fldSimple w:instr=" PAGE   \* MERGEFORMAT ">
          <w:r w:rsidR="00AC0D9A">
            <w:rPr>
              <w:noProof/>
            </w:rPr>
            <w:t>2</w:t>
          </w:r>
        </w:fldSimple>
      </w:p>
    </w:sdtContent>
  </w:sdt>
  <w:p w:rsidR="005934C7" w:rsidRDefault="00593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C7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CFB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6647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36C"/>
    <w:rsid w:val="001F714B"/>
    <w:rsid w:val="0020051B"/>
    <w:rsid w:val="002019CE"/>
    <w:rsid w:val="00203656"/>
    <w:rsid w:val="002037E1"/>
    <w:rsid w:val="00203EF9"/>
    <w:rsid w:val="002046AF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0C01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FA"/>
    <w:rsid w:val="0043259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4C2F"/>
    <w:rsid w:val="00605A59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009"/>
    <w:rsid w:val="00624262"/>
    <w:rsid w:val="006254D5"/>
    <w:rsid w:val="00630A54"/>
    <w:rsid w:val="00631990"/>
    <w:rsid w:val="006366CF"/>
    <w:rsid w:val="006417B7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6D44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B37"/>
    <w:rsid w:val="00797C39"/>
    <w:rsid w:val="007A01BB"/>
    <w:rsid w:val="007A0AFB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516"/>
    <w:rsid w:val="008679B2"/>
    <w:rsid w:val="008712A0"/>
    <w:rsid w:val="00875287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8F6A55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5C67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C70C7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3460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5C97"/>
    <w:rsid w:val="00A81A1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D9A"/>
    <w:rsid w:val="00AC72ED"/>
    <w:rsid w:val="00AC74ED"/>
    <w:rsid w:val="00AC768D"/>
    <w:rsid w:val="00AD7B5C"/>
    <w:rsid w:val="00AE2567"/>
    <w:rsid w:val="00AF0BF9"/>
    <w:rsid w:val="00AF2367"/>
    <w:rsid w:val="00AF68D5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325"/>
    <w:rsid w:val="00C4192D"/>
    <w:rsid w:val="00C45A7B"/>
    <w:rsid w:val="00C50DF4"/>
    <w:rsid w:val="00C535C5"/>
    <w:rsid w:val="00C547C5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5F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09AE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EF74AA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4F"/>
    <w:rsid w:val="00FA00F4"/>
    <w:rsid w:val="00FA1E4E"/>
    <w:rsid w:val="00FA28B7"/>
    <w:rsid w:val="00FA3B69"/>
    <w:rsid w:val="00FA585D"/>
    <w:rsid w:val="00FA6C10"/>
    <w:rsid w:val="00FB2792"/>
    <w:rsid w:val="00FB492A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2015-05-20T11:07:00Z</cp:lastPrinted>
  <dcterms:created xsi:type="dcterms:W3CDTF">2014-03-19T08:52:00Z</dcterms:created>
  <dcterms:modified xsi:type="dcterms:W3CDTF">2016-04-20T08:07:00Z</dcterms:modified>
</cp:coreProperties>
</file>